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D67D6A" w:rsidTr="00D67D6A">
        <w:trPr>
          <w:trHeight w:val="288"/>
        </w:trPr>
        <w:tc>
          <w:tcPr>
            <w:tcW w:w="9498" w:type="dxa"/>
            <w:vAlign w:val="center"/>
          </w:tcPr>
          <w:p w:rsidR="00D67D6A" w:rsidRDefault="00D67D6A">
            <w:pPr>
              <w:keepNext/>
              <w:spacing w:after="0"/>
              <w:ind w:left="1134"/>
              <w:jc w:val="both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Toc67396204"/>
            <w:bookmarkStart w:id="1" w:name="_Toc304444780"/>
            <w:r>
              <w:rPr>
                <w:rFonts w:ascii="Times New Roman" w:hAnsi="Times New Roman"/>
                <w:b/>
                <w:sz w:val="28"/>
                <w:szCs w:val="28"/>
              </w:rPr>
              <w:t>Сведения из стратегии развития</w:t>
            </w:r>
            <w:bookmarkEnd w:id="0"/>
            <w:bookmarkEnd w:id="1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Общества</w:t>
            </w:r>
          </w:p>
          <w:p w:rsidR="00D67D6A" w:rsidRDefault="00D67D6A">
            <w:pPr>
              <w:keepNext/>
              <w:spacing w:after="0"/>
              <w:ind w:left="1134"/>
              <w:jc w:val="both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7D6A" w:rsidRDefault="00D67D6A">
            <w:pPr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Специалистами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LINK Excel.SheetBinaryMacroEnabled.12 "D:\\Cloud Mail.Ru\\bp\\2021\\АСБ_Междулесье\\вариант 2\\С УЧЕТОМ_Междулесье 2.xlsb" "word!R2C3" \t \* MERGEFORMAT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 xml:space="preserve">ОАО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«Любань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постоянно проводится анализ экономического, технического, кадрового и финансового состояния хозяйства, и на основании этого определяются цели и задачи перспективного развития предприятия, вырабатывается стратегия развития.</w:t>
            </w:r>
          </w:p>
          <w:p w:rsidR="00D67D6A" w:rsidRDefault="00D67D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Главной целью стратегического развития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LINK Excel.SheetBinaryMacroEnabled.12 "D:\\Cloud Mail.Ru\\bp\\2021\\АСБ_Междулесье\\вариант 2\\С УЧЕТОМ_Междулесье 2.xlsb" "word!R2C3" \t \* MERGEFORMAT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ОАО «Любань»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является укрепление животноводческого комплекса и дальнейшее перспективное развитие растениеводства на основе внедрения новых технологий и новой сельскохозяйственной техники.</w:t>
            </w:r>
          </w:p>
          <w:p w:rsidR="00D67D6A" w:rsidRDefault="00D67D6A">
            <w:pPr>
              <w:spacing w:after="0"/>
              <w:ind w:firstLine="74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Основными задачами стратегического развития ОАО «Любань» являются в сфере:</w:t>
            </w:r>
          </w:p>
          <w:p w:rsidR="00D67D6A" w:rsidRDefault="00D67D6A" w:rsidP="0085179A">
            <w:pPr>
              <w:numPr>
                <w:ilvl w:val="0"/>
                <w:numId w:val="1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и управления: создание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      </w:r>
          </w:p>
          <w:p w:rsidR="00D67D6A" w:rsidRDefault="00D67D6A" w:rsidP="0085179A">
            <w:pPr>
              <w:numPr>
                <w:ilvl w:val="0"/>
                <w:numId w:val="1"/>
              </w:numPr>
              <w:spacing w:after="0" w:line="240" w:lineRule="auto"/>
              <w:ind w:left="34" w:firstLine="8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растениеводства: внедрение научно обоснованной системы земледелия на основе новых технологий, включая совершенствование структуры посевных площадей, интенсификацию кормовых угодий; внесение удобрений под рост урожайности и др.;</w:t>
            </w:r>
          </w:p>
          <w:p w:rsidR="00D67D6A" w:rsidRDefault="00D67D6A" w:rsidP="0085179A">
            <w:pPr>
              <w:numPr>
                <w:ilvl w:val="0"/>
                <w:numId w:val="1"/>
              </w:numPr>
              <w:spacing w:after="0" w:line="240" w:lineRule="auto"/>
              <w:ind w:left="34" w:firstLine="8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животноводства: повышение продуктивности животных на основе решения проблемы кормовой базы, улучшения структуры стада и породного состава животных; завершились строительно-монтажные работы по МТФ «Хабовичи» под новые технологии содержания животных; </w:t>
            </w:r>
          </w:p>
          <w:p w:rsidR="00D67D6A" w:rsidRDefault="00D67D6A" w:rsidP="0085179A">
            <w:pPr>
              <w:numPr>
                <w:ilvl w:val="0"/>
                <w:numId w:val="1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использования материально-технической базы: оснащение машинно-тракторного парка высокопроизводительными сельхозмашинами.</w:t>
            </w:r>
          </w:p>
          <w:p w:rsidR="00D67D6A" w:rsidRDefault="00D67D6A">
            <w:pPr>
              <w:spacing w:after="0"/>
              <w:ind w:firstLine="74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</w:t>
            </w:r>
          </w:p>
          <w:p w:rsidR="00D67D6A" w:rsidRDefault="00D67D6A">
            <w:pPr>
              <w:spacing w:after="0"/>
              <w:ind w:firstLine="74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рамках стратегического развития предприятия запланирована реализация инвестиционного проекта по модернизации и ремонту МТФ Чемер в аг.Дивин</w:t>
            </w:r>
          </w:p>
          <w:p w:rsidR="00D67D6A" w:rsidRDefault="00D67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67D6A" w:rsidRDefault="00D67D6A" w:rsidP="00D67D6A">
      <w:pPr>
        <w:pStyle w:val="justify"/>
        <w:ind w:firstLine="0"/>
        <w:rPr>
          <w:sz w:val="28"/>
          <w:szCs w:val="28"/>
        </w:rPr>
      </w:pPr>
    </w:p>
    <w:p w:rsidR="00D67D6A" w:rsidRDefault="00D67D6A" w:rsidP="00D67D6A">
      <w:pPr>
        <w:pStyle w:val="justify"/>
        <w:ind w:firstLine="709"/>
      </w:pPr>
      <w:r>
        <w:rPr>
          <w:sz w:val="28"/>
          <w:szCs w:val="28"/>
        </w:rPr>
        <w:br w:type="page"/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0"/>
        <w:gridCol w:w="3288"/>
        <w:gridCol w:w="709"/>
        <w:gridCol w:w="1056"/>
        <w:gridCol w:w="1056"/>
        <w:gridCol w:w="864"/>
        <w:gridCol w:w="993"/>
        <w:gridCol w:w="992"/>
        <w:gridCol w:w="992"/>
      </w:tblGrid>
      <w:tr w:rsidR="00B51899" w:rsidRPr="00B51899" w:rsidTr="00B51899">
        <w:trPr>
          <w:trHeight w:val="420"/>
        </w:trPr>
        <w:tc>
          <w:tcPr>
            <w:tcW w:w="10490" w:type="dxa"/>
            <w:gridSpan w:val="9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RANGE!A1:I76"/>
            <w:r w:rsidRPr="00B5189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табл.  4 ОСНОВНЫЕ ПОКАЗАТЕЛИ РАЗВИТИЯ ОАО "</w:t>
            </w:r>
            <w:bookmarkStart w:id="3" w:name="_GoBack"/>
            <w:bookmarkEnd w:id="3"/>
            <w:r w:rsidRPr="00B51899">
              <w:rPr>
                <w:rFonts w:ascii="Times New Roman" w:hAnsi="Times New Roman"/>
                <w:b/>
                <w:bCs/>
                <w:sz w:val="24"/>
                <w:szCs w:val="24"/>
              </w:rPr>
              <w:t>Любань" НА 2026 г.</w:t>
            </w:r>
            <w:bookmarkEnd w:id="2"/>
          </w:p>
        </w:tc>
      </w:tr>
      <w:tr w:rsidR="00B51899" w:rsidRPr="00B51899" w:rsidTr="00B51899">
        <w:trPr>
          <w:trHeight w:val="255"/>
        </w:trPr>
        <w:tc>
          <w:tcPr>
            <w:tcW w:w="540" w:type="dxa"/>
            <w:vMerge w:val="restart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88" w:type="dxa"/>
            <w:vMerge w:val="restart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56" w:type="dxa"/>
            <w:vMerge w:val="restart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56" w:type="dxa"/>
            <w:vMerge w:val="restart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64" w:type="dxa"/>
            <w:vMerge w:val="restart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977" w:type="dxa"/>
            <w:gridSpan w:val="3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в т.ч.:</w:t>
            </w:r>
          </w:p>
        </w:tc>
      </w:tr>
      <w:tr w:rsidR="00B51899" w:rsidRPr="00B51899" w:rsidTr="00B51899">
        <w:trPr>
          <w:trHeight w:val="555"/>
        </w:trPr>
        <w:tc>
          <w:tcPr>
            <w:tcW w:w="540" w:type="dxa"/>
            <w:vMerge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январь-июнь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январь-сентябрь</w:t>
            </w:r>
          </w:p>
        </w:tc>
      </w:tr>
      <w:tr w:rsidR="00B51899" w:rsidRPr="00B51899" w:rsidTr="00B51899">
        <w:trPr>
          <w:trHeight w:val="76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13483,9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12788,8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13310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2160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4580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10290</w:t>
            </w:r>
          </w:p>
        </w:tc>
      </w:tr>
      <w:tr w:rsidR="00B51899" w:rsidRPr="00B51899" w:rsidTr="00B51899">
        <w:trPr>
          <w:trHeight w:val="34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 xml:space="preserve">     растениеводство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4459,1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3984,8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3990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3840</w:t>
            </w:r>
          </w:p>
        </w:tc>
      </w:tr>
      <w:tr w:rsidR="00B51899" w:rsidRPr="00B51899" w:rsidTr="00B51899">
        <w:trPr>
          <w:trHeight w:val="33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 xml:space="preserve">     животноводство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9024,8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8804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9320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2160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4040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6450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</w:tr>
      <w:tr w:rsidR="00B51899" w:rsidRPr="00B51899" w:rsidTr="00B51899">
        <w:trPr>
          <w:trHeight w:val="105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16680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20450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21500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3150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7050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15650</w:t>
            </w:r>
          </w:p>
        </w:tc>
      </w:tr>
      <w:tr w:rsidR="00B51899" w:rsidRPr="00B51899" w:rsidTr="00B51899">
        <w:trPr>
          <w:trHeight w:val="105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122,6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</w:tr>
      <w:tr w:rsidR="00B51899" w:rsidRPr="00B51899" w:rsidTr="00B51899">
        <w:trPr>
          <w:trHeight w:val="129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105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 xml:space="preserve">Стоимость перерабатываемого давальческого сырья 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Выручка от реализации продукции, товаров, работ, услуг (с НДС)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9744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11828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13795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3010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6192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10731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132,1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121,4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116,6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139,3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138,1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142,7</w:t>
            </w:r>
          </w:p>
        </w:tc>
      </w:tr>
      <w:tr w:rsidR="00B51899" w:rsidRPr="00B51899" w:rsidTr="00B51899">
        <w:trPr>
          <w:trHeight w:val="76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8304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10511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12198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2686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5527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9528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154,7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132,6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133,6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139,9</w:t>
            </w:r>
          </w:p>
        </w:tc>
      </w:tr>
      <w:tr w:rsidR="00B51899" w:rsidRPr="00B51899" w:rsidTr="00B51899">
        <w:trPr>
          <w:trHeight w:val="57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-291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B51899" w:rsidRPr="00B51899" w:rsidTr="00B51899">
        <w:trPr>
          <w:trHeight w:val="46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EBITDA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37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Чистая прибыль, убыток (-)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3391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3560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4141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1920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2650</w:t>
            </w:r>
          </w:p>
        </w:tc>
      </w:tr>
      <w:tr w:rsidR="00B51899" w:rsidRPr="00B51899" w:rsidTr="00B51899">
        <w:trPr>
          <w:trHeight w:val="37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Рентабельность по EBITDA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Рентабельность реализованной продукции, товаров, работ, услуг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-3,5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B51899" w:rsidRPr="00B51899" w:rsidTr="00B51899">
        <w:trPr>
          <w:trHeight w:val="36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Рентабельность продаж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-3,0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B51899" w:rsidRPr="00B51899" w:rsidTr="00B51899">
        <w:trPr>
          <w:trHeight w:val="127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102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58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76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 xml:space="preserve">Снижение уровня материалоемкости продукции (работ, услуг) в организациях </w:t>
            </w:r>
            <w:r w:rsidRPr="00B51899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промышленности (в фактических ценах)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-2,6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-1,8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-1,5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-0,3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-0,6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-1,0</w:t>
            </w:r>
          </w:p>
        </w:tc>
      </w:tr>
      <w:tr w:rsidR="00B51899" w:rsidRPr="00B51899" w:rsidTr="00B51899">
        <w:trPr>
          <w:trHeight w:val="31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Показатель по энергосбережению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-1,23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-2,9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-3,1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-1,2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-2,5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-3,0</w:t>
            </w:r>
          </w:p>
        </w:tc>
      </w:tr>
      <w:tr w:rsidR="00B51899" w:rsidRPr="00B51899" w:rsidTr="00B51899">
        <w:trPr>
          <w:trHeight w:val="39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121,4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Темп роста среднесписочной численности работников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</w:tr>
      <w:tr w:rsidR="00B51899" w:rsidRPr="00B51899" w:rsidTr="00B51899">
        <w:trPr>
          <w:trHeight w:val="39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1919,0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2216,5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2466,4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2177,4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2244,6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2517,9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Темп роста среднемесячной заработной платы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130,3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115,5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111,3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114,3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117,6</w:t>
            </w:r>
          </w:p>
        </w:tc>
      </w:tr>
      <w:tr w:rsidR="00B51899" w:rsidRPr="00B51899" w:rsidTr="00B51899">
        <w:trPr>
          <w:trHeight w:val="76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78,30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97,43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111,25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24,27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49,93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86,54</w:t>
            </w:r>
          </w:p>
        </w:tc>
      </w:tr>
      <w:tr w:rsidR="00B51899" w:rsidRPr="00B51899" w:rsidTr="00B51899">
        <w:trPr>
          <w:trHeight w:val="76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Выручка от реализации продукции, товаров, работ, услуг на одного  среднесписочного работника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долл. США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76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124,4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114,2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</w:tr>
      <w:tr w:rsidR="00B51899" w:rsidRPr="00B51899" w:rsidTr="00B51899">
        <w:trPr>
          <w:trHeight w:val="82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коэф.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1,09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</w:tr>
      <w:tr w:rsidR="00B51899" w:rsidRPr="00B51899" w:rsidTr="00B51899">
        <w:trPr>
          <w:trHeight w:val="37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Добавленная стоимость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6297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5188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6468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5125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Добавленная стоимость на одного среднесписочного работника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49,98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42,73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52,16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6,67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41,33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Добавленная стоимость на одного среднесписочного работника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тыс.долл. США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#######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112,6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122,8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133,5</w:t>
            </w:r>
          </w:p>
        </w:tc>
      </w:tr>
      <w:tr w:rsidR="00B51899" w:rsidRPr="00B51899" w:rsidTr="00B51899">
        <w:trPr>
          <w:trHeight w:val="91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коэф.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0,74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1,14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Использование инвестиций в основной капитал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39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Прямые иностранные инвестиции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$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31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Объем экспорта товаров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$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27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Темп роста экспорта товаров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102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#######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#######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#######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#######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#######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Соотношение экспорта товаров и объема промышленного производства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127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127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Соотношение затрат на исследования и разработки новых продуктов, услуг и методов их производства (передачи), новых производственных процессов к объему отгруженной продукции (работ, услуг)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Внутренние затраты на научные исследования и разработки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76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Соотношение внутренних затрат на научные исследования и разработки к добавленной стоимости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Сальдо внешней торговли товарами и услугами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$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28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Кредиторская задолженность, всего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6396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6881</w:t>
            </w:r>
          </w:p>
        </w:tc>
        <w:tc>
          <w:tcPr>
            <w:tcW w:w="864" w:type="dxa"/>
            <w:noWrap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6421</w:t>
            </w:r>
          </w:p>
        </w:tc>
        <w:tc>
          <w:tcPr>
            <w:tcW w:w="993" w:type="dxa"/>
            <w:noWrap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6410</w:t>
            </w:r>
          </w:p>
        </w:tc>
        <w:tc>
          <w:tcPr>
            <w:tcW w:w="992" w:type="dxa"/>
            <w:noWrap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6310</w:t>
            </w:r>
          </w:p>
        </w:tc>
        <w:tc>
          <w:tcPr>
            <w:tcW w:w="992" w:type="dxa"/>
            <w:noWrap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6200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Сумма просроченной кредиторской задолженности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51899" w:rsidRPr="00B51899" w:rsidTr="00B51899">
        <w:trPr>
          <w:trHeight w:val="76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B51899" w:rsidRPr="00B51899" w:rsidTr="00B51899">
        <w:trPr>
          <w:trHeight w:val="36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Дебиторская задолженность, всего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1106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Сумма просроченной дебиторской задолженности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B51899" w:rsidRPr="00B51899" w:rsidTr="00B51899">
        <w:trPr>
          <w:trHeight w:val="76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Соотношение кредиторской и дебиторской задолженности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коэф.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5,78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12,14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12,09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12,79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13,37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14,06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коэф.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0,57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B51899" w:rsidRPr="00B51899" w:rsidTr="00B51899">
        <w:trPr>
          <w:trHeight w:val="31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Коэффициент текущей ликвидности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коэф.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2,09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2,32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2,06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2,05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2,01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2,02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Коэффициент обеспеченности финансовых обязательств активами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коэф.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</w:tr>
      <w:tr w:rsidR="00B51899" w:rsidRPr="00B51899" w:rsidTr="00B51899">
        <w:trPr>
          <w:trHeight w:val="30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 xml:space="preserve">Коэффициент покрытия задолженности     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коэф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103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Коэффициент просроченных обязательств, характеризующий соотношение просроченных обязательств и общей суммы обязательст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коэф.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55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Коэффициент отношения процентных обязательств к EBITDA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коэф.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27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 xml:space="preserve">Срок оборачиваемости капитала          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в днях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28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 xml:space="preserve">Срок оборачиваемости готовой продукции 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в днях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 xml:space="preserve">Срок оборачиваемости дебиторской   задолженности            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в днях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 xml:space="preserve">Срок оборачиваемости кредиторской  задолженности        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в днях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 xml:space="preserve">Степень риска наступления банкротства </w:t>
            </w:r>
            <w:r w:rsidRPr="00B51899">
              <w:rPr>
                <w:rFonts w:ascii="Times New Roman" w:hAnsi="Times New Roman"/>
                <w:i/>
                <w:iCs/>
                <w:sz w:val="24"/>
                <w:szCs w:val="24"/>
              </w:rPr>
              <w:t>(низкая, средняя, высокая, критичная)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51899">
              <w:rPr>
                <w:rFonts w:ascii="Times New Roman" w:hAnsi="Times New Roman"/>
                <w:i/>
                <w:iCs/>
                <w:sz w:val="24"/>
                <w:szCs w:val="24"/>
              </w:rPr>
              <w:t>Обменный курс белоруччкого рубля к доллару США (среднегодовой)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76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Общее количество заключенных договоров на приобретение товаров, осуществление (работ, услуг)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76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Количество договоров, заключенных с субъектами малого и среднего предпринимательства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102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Соотношение договоров, заключенных с субъектами малого и среднего предпринимательства к общему количеству договоров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1275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Количество профориентационных мероприятий для обучающихся учреждений общего среднего, профессионально-технического и среднего специального образования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1899" w:rsidRPr="00B51899" w:rsidTr="00B51899">
        <w:trPr>
          <w:trHeight w:val="510"/>
        </w:trPr>
        <w:tc>
          <w:tcPr>
            <w:tcW w:w="540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288" w:type="dxa"/>
            <w:hideMark/>
          </w:tcPr>
          <w:p w:rsidR="00B51899" w:rsidRPr="00B51899" w:rsidRDefault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Направлено на обучение на условиях целевой подготовки</w:t>
            </w:r>
          </w:p>
        </w:tc>
        <w:tc>
          <w:tcPr>
            <w:tcW w:w="709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B51899" w:rsidRPr="00B51899" w:rsidRDefault="00B51899" w:rsidP="00B51899">
            <w:pPr>
              <w:rPr>
                <w:rFonts w:ascii="Times New Roman" w:hAnsi="Times New Roman"/>
                <w:sz w:val="24"/>
                <w:szCs w:val="24"/>
              </w:rPr>
            </w:pPr>
            <w:r w:rsidRPr="00B518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04E11" w:rsidRDefault="00504E11"/>
    <w:sectPr w:rsidR="00504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6A"/>
    <w:rsid w:val="00504E11"/>
    <w:rsid w:val="00B51899"/>
    <w:rsid w:val="00D6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B442"/>
  <w15:chartTrackingRefBased/>
  <w15:docId w15:val="{6A9B8396-A864-499D-8483-7242045C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D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D67D6A"/>
    <w:pPr>
      <w:spacing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5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1492</Words>
  <Characters>8507</Characters>
  <Application>Microsoft Office Word</Application>
  <DocSecurity>0</DocSecurity>
  <Lines>70</Lines>
  <Paragraphs>19</Paragraphs>
  <ScaleCrop>false</ScaleCrop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2026-04-08T06:27:00Z</dcterms:created>
  <dcterms:modified xsi:type="dcterms:W3CDTF">2026-04-08T06:32:00Z</dcterms:modified>
</cp:coreProperties>
</file>